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84881">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4958FF67">
      <w:pPr>
        <w:jc w:val="center"/>
        <w:rPr>
          <w:rFonts w:hint="eastAsia" w:ascii="方正小标宋简体" w:hAnsi="方正小标宋简体" w:eastAsia="方正小标宋简体" w:cs="方正小标宋简体"/>
          <w:sz w:val="40"/>
          <w:szCs w:val="48"/>
          <w:lang w:val="en-US" w:eastAsia="zh-CN"/>
        </w:rPr>
      </w:pPr>
      <w:r>
        <w:rPr>
          <w:rFonts w:hint="eastAsia" w:ascii="方正小标宋简体" w:hAnsi="方正小标宋简体" w:eastAsia="方正小标宋简体" w:cs="方正小标宋简体"/>
          <w:sz w:val="40"/>
          <w:szCs w:val="48"/>
          <w:lang w:val="en-US" w:eastAsia="zh-CN"/>
        </w:rPr>
        <w:t>2026年福建省教育科学规划教育考试招生</w:t>
      </w:r>
    </w:p>
    <w:p w14:paraId="0D1838F3">
      <w:pPr>
        <w:jc w:val="center"/>
        <w:rPr>
          <w:rFonts w:hint="eastAsia" w:ascii="方正小标宋简体" w:hAnsi="方正小标宋简体" w:eastAsia="方正小标宋简体" w:cs="方正小标宋简体"/>
          <w:sz w:val="40"/>
          <w:szCs w:val="48"/>
          <w:lang w:val="en-US" w:eastAsia="zh-CN"/>
        </w:rPr>
      </w:pPr>
      <w:r>
        <w:rPr>
          <w:rFonts w:hint="eastAsia" w:ascii="方正小标宋简体" w:hAnsi="方正小标宋简体" w:eastAsia="方正小标宋简体" w:cs="方正小标宋简体"/>
          <w:sz w:val="40"/>
          <w:szCs w:val="48"/>
          <w:lang w:val="en-US" w:eastAsia="zh-CN"/>
        </w:rPr>
        <w:t>研究专项课题指南</w:t>
      </w:r>
    </w:p>
    <w:p w14:paraId="0C334731">
      <w:pPr>
        <w:jc w:val="center"/>
        <w:rPr>
          <w:rFonts w:hint="eastAsia" w:ascii="方正小标宋简体" w:hAnsi="方正小标宋简体" w:eastAsia="方正小标宋简体" w:cs="方正小标宋简体"/>
          <w:sz w:val="40"/>
          <w:szCs w:val="48"/>
          <w:lang w:val="en-US" w:eastAsia="zh-CN"/>
        </w:rPr>
      </w:pPr>
    </w:p>
    <w:tbl>
      <w:tblPr>
        <w:tblStyle w:val="2"/>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897"/>
        <w:gridCol w:w="8165"/>
      </w:tblGrid>
      <w:tr w14:paraId="4F6C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57" w:hRule="atLeast"/>
          <w:jc w:val="center"/>
        </w:trPr>
        <w:tc>
          <w:tcPr>
            <w:tcW w:w="897" w:type="dxa"/>
            <w:shd w:val="clear" w:color="auto" w:fill="auto"/>
            <w:vAlign w:val="center"/>
          </w:tcPr>
          <w:p w14:paraId="457D8F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textAlignment w:val="center"/>
              <w:rPr>
                <w:color w:val="000000"/>
                <w:sz w:val="18"/>
                <w:szCs w:val="18"/>
              </w:rPr>
            </w:pPr>
            <w:r>
              <w:rPr>
                <w:rFonts w:hint="eastAsia" w:ascii="黑体" w:hAnsi="宋体" w:eastAsia="黑体" w:cs="黑体"/>
                <w:color w:val="000000"/>
                <w:kern w:val="0"/>
                <w:sz w:val="32"/>
                <w:szCs w:val="32"/>
                <w:lang w:val="en-US" w:eastAsia="zh-CN" w:bidi="ar"/>
              </w:rPr>
              <w:t>序号</w:t>
            </w:r>
          </w:p>
        </w:tc>
        <w:tc>
          <w:tcPr>
            <w:tcW w:w="8165" w:type="dxa"/>
            <w:shd w:val="clear" w:color="auto" w:fill="auto"/>
            <w:vAlign w:val="center"/>
          </w:tcPr>
          <w:p w14:paraId="4AD81C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textAlignment w:val="center"/>
              <w:rPr>
                <w:color w:val="000000"/>
                <w:sz w:val="18"/>
                <w:szCs w:val="18"/>
              </w:rPr>
            </w:pPr>
            <w:r>
              <w:rPr>
                <w:rFonts w:hint="eastAsia" w:ascii="黑体" w:hAnsi="宋体" w:eastAsia="黑体" w:cs="黑体"/>
                <w:color w:val="000000"/>
                <w:kern w:val="0"/>
                <w:sz w:val="32"/>
                <w:szCs w:val="32"/>
                <w:lang w:val="en-US" w:eastAsia="zh-CN" w:bidi="ar"/>
              </w:rPr>
              <w:t>内容</w:t>
            </w:r>
          </w:p>
        </w:tc>
      </w:tr>
      <w:tr w14:paraId="62B3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7" w:type="dxa"/>
            <w:shd w:val="clear" w:color="auto" w:fill="auto"/>
            <w:vAlign w:val="center"/>
          </w:tcPr>
          <w:p w14:paraId="25F2C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1</w:t>
            </w:r>
          </w:p>
        </w:tc>
        <w:tc>
          <w:tcPr>
            <w:tcW w:w="8165" w:type="dxa"/>
            <w:shd w:val="clear" w:color="auto" w:fill="auto"/>
            <w:vAlign w:val="center"/>
          </w:tcPr>
          <w:p w14:paraId="6D6AE2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left"/>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五育并举导向的高考考试内容改革</w:t>
            </w:r>
          </w:p>
        </w:tc>
      </w:tr>
      <w:tr w14:paraId="46CC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7" w:type="dxa"/>
            <w:shd w:val="clear" w:color="auto" w:fill="auto"/>
            <w:vAlign w:val="center"/>
          </w:tcPr>
          <w:p w14:paraId="40C195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2</w:t>
            </w:r>
          </w:p>
        </w:tc>
        <w:tc>
          <w:tcPr>
            <w:tcW w:w="8165" w:type="dxa"/>
            <w:shd w:val="clear" w:color="auto" w:fill="auto"/>
            <w:vAlign w:val="center"/>
          </w:tcPr>
          <w:p w14:paraId="5D7891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left"/>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面向人工智能时代的高考学科测量新构念与命题创新研究</w:t>
            </w:r>
          </w:p>
        </w:tc>
      </w:tr>
      <w:tr w14:paraId="184EF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897" w:type="dxa"/>
            <w:shd w:val="clear" w:color="auto" w:fill="auto"/>
            <w:vAlign w:val="center"/>
          </w:tcPr>
          <w:p w14:paraId="50AF4E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3</w:t>
            </w:r>
          </w:p>
        </w:tc>
        <w:tc>
          <w:tcPr>
            <w:tcW w:w="8165" w:type="dxa"/>
            <w:shd w:val="clear" w:color="auto" w:fill="auto"/>
            <w:vAlign w:val="center"/>
          </w:tcPr>
          <w:p w14:paraId="753CCE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left"/>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人工智能辅助命题质量全流程控制研究</w:t>
            </w:r>
          </w:p>
        </w:tc>
      </w:tr>
      <w:tr w14:paraId="5E72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7" w:type="dxa"/>
            <w:shd w:val="clear" w:color="auto" w:fill="auto"/>
            <w:vAlign w:val="center"/>
          </w:tcPr>
          <w:p w14:paraId="0AEEA5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4</w:t>
            </w:r>
          </w:p>
        </w:tc>
        <w:tc>
          <w:tcPr>
            <w:tcW w:w="8165" w:type="dxa"/>
            <w:shd w:val="clear" w:color="auto" w:fill="auto"/>
            <w:vAlign w:val="center"/>
          </w:tcPr>
          <w:p w14:paraId="006B5A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left"/>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区域大规模考试数据评价的模型建构与诊断研究</w:t>
            </w:r>
          </w:p>
        </w:tc>
      </w:tr>
      <w:tr w14:paraId="7031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7" w:type="dxa"/>
            <w:shd w:val="clear" w:color="auto" w:fill="auto"/>
            <w:vAlign w:val="center"/>
          </w:tcPr>
          <w:p w14:paraId="1BF84E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5</w:t>
            </w:r>
          </w:p>
        </w:tc>
        <w:tc>
          <w:tcPr>
            <w:tcW w:w="8165" w:type="dxa"/>
            <w:shd w:val="clear" w:color="auto" w:fill="auto"/>
            <w:vAlign w:val="center"/>
          </w:tcPr>
          <w:p w14:paraId="6AA9B6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left"/>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中考、高考、研究生考试协同改革研究</w:t>
            </w:r>
          </w:p>
        </w:tc>
      </w:tr>
      <w:tr w14:paraId="784E1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7" w:type="dxa"/>
            <w:shd w:val="clear" w:color="auto" w:fill="auto"/>
            <w:vAlign w:val="center"/>
          </w:tcPr>
          <w:p w14:paraId="05682F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6</w:t>
            </w:r>
          </w:p>
        </w:tc>
        <w:tc>
          <w:tcPr>
            <w:tcW w:w="8165" w:type="dxa"/>
            <w:shd w:val="clear" w:color="auto" w:fill="auto"/>
            <w:vAlign w:val="center"/>
          </w:tcPr>
          <w:p w14:paraId="70B792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left"/>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教育强国目标下优质本科扩容的考试招生响应机制与计划资源配置研究</w:t>
            </w:r>
          </w:p>
        </w:tc>
      </w:tr>
      <w:tr w14:paraId="3491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897" w:type="dxa"/>
            <w:shd w:val="clear" w:color="auto" w:fill="auto"/>
            <w:vAlign w:val="center"/>
          </w:tcPr>
          <w:p w14:paraId="4BE275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7</w:t>
            </w:r>
          </w:p>
        </w:tc>
        <w:tc>
          <w:tcPr>
            <w:tcW w:w="8165" w:type="dxa"/>
            <w:shd w:val="clear" w:color="auto" w:fill="auto"/>
            <w:vAlign w:val="center"/>
          </w:tcPr>
          <w:p w14:paraId="01436E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left"/>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研究生招生考试自命题质量保障与风险防控一体化体系研究</w:t>
            </w:r>
          </w:p>
        </w:tc>
      </w:tr>
      <w:tr w14:paraId="48F2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7" w:type="dxa"/>
            <w:shd w:val="clear" w:color="auto" w:fill="auto"/>
            <w:vAlign w:val="center"/>
          </w:tcPr>
          <w:p w14:paraId="0F5191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8</w:t>
            </w:r>
          </w:p>
        </w:tc>
        <w:tc>
          <w:tcPr>
            <w:tcW w:w="8165" w:type="dxa"/>
            <w:shd w:val="clear" w:color="auto" w:fill="auto"/>
            <w:vAlign w:val="center"/>
          </w:tcPr>
          <w:p w14:paraId="6CDE32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left"/>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自学考试专业调整路径及有效性评价</w:t>
            </w:r>
            <w:bookmarkStart w:id="0" w:name="_GoBack"/>
            <w:bookmarkEnd w:id="0"/>
          </w:p>
        </w:tc>
      </w:tr>
      <w:tr w14:paraId="5135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7" w:type="dxa"/>
            <w:shd w:val="clear" w:color="auto" w:fill="auto"/>
            <w:vAlign w:val="center"/>
          </w:tcPr>
          <w:p w14:paraId="484489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9</w:t>
            </w:r>
          </w:p>
        </w:tc>
        <w:tc>
          <w:tcPr>
            <w:tcW w:w="8165" w:type="dxa"/>
            <w:shd w:val="clear" w:color="auto" w:fill="auto"/>
            <w:vAlign w:val="center"/>
          </w:tcPr>
          <w:p w14:paraId="543514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left"/>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指向教学评一体化的考试评价方式变革研究</w:t>
            </w:r>
          </w:p>
        </w:tc>
      </w:tr>
      <w:tr w14:paraId="07A4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7" w:type="dxa"/>
            <w:shd w:val="clear" w:color="auto" w:fill="auto"/>
            <w:vAlign w:val="center"/>
          </w:tcPr>
          <w:p w14:paraId="07EDD9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10</w:t>
            </w:r>
          </w:p>
        </w:tc>
        <w:tc>
          <w:tcPr>
            <w:tcW w:w="8165" w:type="dxa"/>
            <w:shd w:val="clear" w:color="auto" w:fill="auto"/>
            <w:vAlign w:val="center"/>
          </w:tcPr>
          <w:p w14:paraId="6C2402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left"/>
              <w:textAlignment w:val="center"/>
              <w:rPr>
                <w:color w:val="000000"/>
                <w:sz w:val="18"/>
                <w:szCs w:val="18"/>
              </w:rPr>
            </w:pPr>
            <w:r>
              <w:rPr>
                <w:rFonts w:hint="eastAsia" w:ascii="仿宋_GB2312" w:eastAsia="仿宋_GB2312" w:cs="仿宋_GB2312" w:hAnsiTheme="minorHAnsi"/>
                <w:color w:val="000000"/>
                <w:kern w:val="0"/>
                <w:sz w:val="32"/>
                <w:szCs w:val="32"/>
                <w:lang w:val="en-US" w:eastAsia="zh-CN" w:bidi="ar"/>
              </w:rPr>
              <w:t>考试评价改革的国际进展分析研究</w:t>
            </w:r>
          </w:p>
        </w:tc>
      </w:tr>
    </w:tbl>
    <w:p w14:paraId="04ECE3E6">
      <w:pPr>
        <w:rPr>
          <w:rFonts w:hint="eastAsia"/>
        </w:rPr>
      </w:pPr>
    </w:p>
    <w:p w14:paraId="63952458"/>
    <w:sectPr>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AC7EFB"/>
    <w:rsid w:val="61AC7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2026-08-06T06:57:00Z</dcterms:created>
  <dc:creator>林志REFEREE</dc:creator>
  <cp:lastModifiedBy>林志REFEREE</cp:lastModifiedBy>
  <dcterms:modified xsi:type="dcterms:W3CDTF">2026-08-06T07:13:59Z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0D406363397642AD801D0FC56A79CA1D_11</vt:lpwstr>
  </property>
  <property fmtid="{D5CDD505-2E9C-101B-9397-08002B2CF9AE}" pid="4" name="KSOTemplateDocerSaveRecord">
    <vt:lpwstr>eyJoZGlkIjoiMzEwNTM5NzYwMDRjMzkwZTVkZjY2ODkwMGIxNGU0OTUiLCJ1c2VySWQiOiI0MzUzMTcwNTQifQ==</vt:lpwstr>
  </property>
</Properties>
</file>