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DD" w:rsidRDefault="00D31AE3">
      <w:pPr>
        <w:spacing w:line="520" w:lineRule="exact"/>
        <w:jc w:val="center"/>
        <w:rPr>
          <w:rFonts w:ascii="方正小标宋简体" w:eastAsia="方正小标宋简体" w:hAnsi="仿宋_GB2312" w:cs="仿宋_GB2312"/>
          <w:b/>
          <w:color w:val="000000" w:themeColor="text1"/>
          <w:sz w:val="36"/>
          <w:szCs w:val="36"/>
        </w:rPr>
      </w:pPr>
      <w:r>
        <w:rPr>
          <w:rFonts w:ascii="方正小标宋简体" w:eastAsia="方正小标宋简体" w:hAnsi="仿宋_GB2312" w:cs="仿宋_GB2312" w:hint="eastAsia"/>
          <w:b/>
          <w:color w:val="000000" w:themeColor="text1"/>
          <w:sz w:val="36"/>
          <w:szCs w:val="36"/>
        </w:rPr>
        <w:t>202</w:t>
      </w:r>
      <w:r w:rsidR="00435D9C">
        <w:rPr>
          <w:rFonts w:ascii="方正小标宋简体" w:eastAsia="方正小标宋简体" w:hAnsi="仿宋_GB2312" w:cs="仿宋_GB2312"/>
          <w:b/>
          <w:color w:val="000000" w:themeColor="text1"/>
          <w:sz w:val="36"/>
          <w:szCs w:val="36"/>
        </w:rPr>
        <w:t>2</w:t>
      </w:r>
      <w:r>
        <w:rPr>
          <w:rFonts w:ascii="方正小标宋简体" w:eastAsia="方正小标宋简体" w:hAnsi="仿宋_GB2312" w:cs="仿宋_GB2312" w:hint="eastAsia"/>
          <w:b/>
          <w:color w:val="000000" w:themeColor="text1"/>
          <w:sz w:val="36"/>
          <w:szCs w:val="36"/>
        </w:rPr>
        <w:t>年度福建师范大学思政工作和辅导员工作</w:t>
      </w:r>
    </w:p>
    <w:p w:rsidR="003075DD" w:rsidRDefault="00D31AE3">
      <w:pPr>
        <w:spacing w:line="520" w:lineRule="exact"/>
        <w:jc w:val="center"/>
        <w:rPr>
          <w:rFonts w:ascii="方正小标宋简体" w:eastAsia="方正小标宋简体" w:hAnsi="仿宋_GB2312" w:cs="仿宋_GB2312"/>
          <w:b/>
          <w:color w:val="000000" w:themeColor="text1"/>
          <w:sz w:val="36"/>
          <w:szCs w:val="36"/>
        </w:rPr>
      </w:pPr>
      <w:r>
        <w:rPr>
          <w:rFonts w:ascii="方正小标宋简体" w:eastAsia="方正小标宋简体" w:hAnsi="仿宋_GB2312" w:cs="仿宋_GB2312" w:hint="eastAsia"/>
          <w:b/>
          <w:color w:val="000000" w:themeColor="text1"/>
          <w:sz w:val="36"/>
          <w:szCs w:val="36"/>
        </w:rPr>
        <w:t>专项任务项目选题指南</w:t>
      </w:r>
    </w:p>
    <w:p w:rsidR="003075DD" w:rsidRDefault="003075DD">
      <w:pPr>
        <w:spacing w:line="460" w:lineRule="exact"/>
        <w:rPr>
          <w:rFonts w:ascii="仿宋_GB2312" w:eastAsia="仿宋_GB2312" w:hAnsi="仿宋_GB2312" w:cs="仿宋_GB2312"/>
          <w:color w:val="000000" w:themeColor="text1"/>
          <w:sz w:val="28"/>
          <w:szCs w:val="28"/>
        </w:rPr>
      </w:pP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w:t>
      </w:r>
      <w:r w:rsidRPr="00435D9C">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当代大学生系统化学习宣传习近平新时代中国特色社会主义思想研究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高校培育时代新人创新机制和路径方法研究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社会主义核心价值观引领知识教育长效机制研究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先进模范群体进校园开展思想政治教育机制研究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5</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运用“四史”特别是百年党史资源促进大学生日常思想政治工作创新发展研究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6</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新时代大学生增强做中国人的志气、骨气、底气研究</w:t>
      </w:r>
    </w:p>
    <w:p w:rsidR="00435D9C" w:rsidRDefault="00435D9C" w:rsidP="00435D9C">
      <w:pPr>
        <w:adjustRightInd w:val="0"/>
        <w:snapToGrid w:val="0"/>
        <w:spacing w:line="560" w:lineRule="exact"/>
        <w:rPr>
          <w:rFonts w:ascii="仿宋_GB2312" w:eastAsia="仿宋_GB2312" w:hAnsi="宋体" w:cs="仿宋_GB2312" w:hint="eastAsia"/>
          <w:color w:val="000000" w:themeColor="text1"/>
          <w:sz w:val="32"/>
          <w:szCs w:val="32"/>
        </w:rPr>
      </w:pPr>
      <w:r w:rsidRPr="00435D9C">
        <w:rPr>
          <w:rFonts w:ascii="仿宋_GB2312" w:eastAsia="仿宋_GB2312" w:hAnsi="宋体" w:cs="仿宋_GB2312" w:hint="eastAsia"/>
          <w:color w:val="000000" w:themeColor="text1"/>
          <w:sz w:val="32"/>
          <w:szCs w:val="32"/>
        </w:rPr>
        <w:t>7</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红色基因融入大学生日常思想政治教育工作研究</w:t>
      </w:r>
    </w:p>
    <w:p w:rsidR="00D31098" w:rsidRPr="00435D9C" w:rsidRDefault="00D31098"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8.</w:t>
      </w:r>
      <w:r w:rsidRPr="00D31098">
        <w:rPr>
          <w:rFonts w:ascii="仿宋_GB2312" w:eastAsia="仿宋_GB2312" w:hAnsi="宋体" w:cs="仿宋_GB2312" w:hint="eastAsia"/>
          <w:color w:val="000000" w:themeColor="text1"/>
          <w:sz w:val="32"/>
          <w:szCs w:val="32"/>
        </w:rPr>
        <w:t xml:space="preserve"> </w:t>
      </w:r>
      <w:r w:rsidRPr="00435D9C">
        <w:rPr>
          <w:rFonts w:ascii="仿宋_GB2312" w:eastAsia="仿宋_GB2312" w:hAnsi="宋体" w:cs="仿宋_GB2312" w:hint="eastAsia"/>
          <w:color w:val="000000" w:themeColor="text1"/>
          <w:sz w:val="32"/>
          <w:szCs w:val="32"/>
        </w:rPr>
        <w:t>学生国家安全教育的国际比较研究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9</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校园文化资源在大学生思想政治教育的作用研究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10</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基于学生群体画像分析的高校精准思政研究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11</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高校学生教育管理的科学化法治化研究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新时代大学生爱国主义教育机制创新研究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伟大建党精神融入大学生日常思想政治教育工作研究</w:t>
      </w:r>
    </w:p>
    <w:p w:rsid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14</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新时代大学生劳动教育研究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15</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整合资源构建高校实践育人共同体研究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16</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“五育并举”背景下高校培育优良学风路径研究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17</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少数民族学生思想政治教育工作机制创新研究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18</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高校辅导员提升政治引领力路径研究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19</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增强高校辅导员与学生谈心谈话的针对性和实效性研究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20</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高校辅导员与思政课教师、专业课教师协同育人研究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lastRenderedPageBreak/>
        <w:t>21</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新时代高校辅导员核心素养研究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高校辅导员培训核心课程创新研究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高校辅导员队伍建设有效激励机制研究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24</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高校辅导员大数据赋能成长与发展机制研究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25</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高校辅导员“双线晋升”实施机制研究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26</w:t>
      </w:r>
      <w:r>
        <w:rPr>
          <w:rFonts w:ascii="仿宋_GB2312" w:eastAsia="仿宋_GB2312" w:hAnsi="宋体" w:cs="仿宋_GB2312"/>
          <w:color w:val="000000" w:themeColor="text1"/>
          <w:sz w:val="32"/>
          <w:szCs w:val="32"/>
        </w:rPr>
        <w:t>.</w:t>
      </w:r>
      <w:r w:rsidR="00D31098" w:rsidRPr="00435D9C">
        <w:rPr>
          <w:rFonts w:ascii="仿宋_GB2312" w:eastAsia="仿宋_GB2312" w:hAnsi="宋体" w:cs="仿宋_GB2312" w:hint="eastAsia"/>
          <w:color w:val="000000" w:themeColor="text1"/>
          <w:sz w:val="32"/>
          <w:szCs w:val="32"/>
        </w:rPr>
        <w:t>高校基层党建中的大数据应用研究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27</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全国性网络思想政治教育阵地的影响力和辐射度提升研究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28</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大学生网络社交圈层化特点与引导策略研究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29</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大学生网络素养内容、载体及培育机制研究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30</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大学生网络“亚文化”现象的教育引导研究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31</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大数据背景下高校网络思想政治教育提升路径研究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大学生网络社群认同及交际机制研究</w:t>
      </w:r>
    </w:p>
    <w:p w:rsid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高校思政类微信公众号的建设现状与发展策略研究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w:t>
      </w:r>
      <w:r>
        <w:rPr>
          <w:rFonts w:ascii="仿宋_GB2312" w:eastAsia="仿宋_GB2312" w:hAnsi="宋体" w:cs="仿宋_GB2312"/>
          <w:color w:val="000000" w:themeColor="text1"/>
          <w:sz w:val="32"/>
          <w:szCs w:val="32"/>
        </w:rPr>
        <w:t>4.</w:t>
      </w:r>
      <w:r w:rsidRPr="00435D9C">
        <w:rPr>
          <w:rFonts w:ascii="仿宋_GB2312" w:eastAsia="仿宋_GB2312" w:hAnsi="宋体" w:cs="仿宋_GB2312" w:hint="eastAsia"/>
          <w:color w:val="000000" w:themeColor="text1"/>
          <w:sz w:val="32"/>
          <w:szCs w:val="32"/>
        </w:rPr>
        <w:t>高校网络文化精准配送机制研究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35</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新媒体短视频育人机制研究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36</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大学生心理问题早期发现和科学干预机制研究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37</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新时代高校学生心理健康教育的难点与对策研究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38</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高校学生心理健康教育体系建设创新研究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39</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大学生积极心理品质培育的路径与机制研究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40</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大学生心理危机的特点与干预策略研究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41</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增强学校、家庭和社会合力开展学生心理健康教育机制研究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新时代大学生群体积极社会心态培育研究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lastRenderedPageBreak/>
        <w:t>43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高校学生组织育人的路径和机制创新研究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44</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研究生思想政治教育的特点与创新研究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w:t>
      </w:r>
      <w:r>
        <w:rPr>
          <w:rFonts w:ascii="仿宋_GB2312" w:eastAsia="仿宋_GB2312" w:hAnsi="宋体" w:cs="仿宋_GB2312"/>
          <w:color w:val="000000" w:themeColor="text1"/>
          <w:sz w:val="32"/>
          <w:szCs w:val="32"/>
        </w:rPr>
        <w:t>6.</w:t>
      </w:r>
      <w:r w:rsidRPr="00435D9C">
        <w:rPr>
          <w:rFonts w:ascii="仿宋_GB2312" w:eastAsia="仿宋_GB2312" w:hAnsi="宋体" w:cs="仿宋_GB2312" w:hint="eastAsia"/>
          <w:color w:val="000000" w:themeColor="text1"/>
          <w:sz w:val="32"/>
          <w:szCs w:val="32"/>
        </w:rPr>
        <w:t>艺体类大学生思想政治教育的现状和对策研究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w:t>
      </w:r>
      <w:r>
        <w:rPr>
          <w:rFonts w:ascii="仿宋_GB2312" w:eastAsia="仿宋_GB2312" w:hAnsi="宋体" w:cs="仿宋_GB2312"/>
          <w:color w:val="000000" w:themeColor="text1"/>
          <w:sz w:val="32"/>
          <w:szCs w:val="32"/>
        </w:rPr>
        <w:t>7.</w:t>
      </w:r>
      <w:r w:rsidRPr="00435D9C">
        <w:rPr>
          <w:rFonts w:ascii="仿宋_GB2312" w:eastAsia="仿宋_GB2312" w:hAnsi="宋体" w:cs="仿宋_GB2312" w:hint="eastAsia"/>
          <w:color w:val="000000" w:themeColor="text1"/>
          <w:sz w:val="32"/>
          <w:szCs w:val="32"/>
        </w:rPr>
        <w:t>高校建立党史学习教育常态化长效化制度机制研究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4</w:t>
      </w:r>
      <w:r>
        <w:rPr>
          <w:rFonts w:ascii="仿宋_GB2312" w:eastAsia="仿宋_GB2312" w:hAnsi="宋体" w:cs="仿宋_GB2312"/>
          <w:color w:val="000000" w:themeColor="text1"/>
          <w:sz w:val="32"/>
          <w:szCs w:val="32"/>
        </w:rPr>
        <w:t>8.</w:t>
      </w:r>
      <w:r w:rsidRPr="00435D9C">
        <w:rPr>
          <w:rFonts w:ascii="仿宋_GB2312" w:eastAsia="仿宋_GB2312" w:hAnsi="宋体" w:cs="仿宋_GB2312" w:hint="eastAsia"/>
          <w:color w:val="000000" w:themeColor="text1"/>
          <w:sz w:val="32"/>
          <w:szCs w:val="32"/>
        </w:rPr>
        <w:t>高校党建思政工作与事业发展深度融合模式研究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49.</w:t>
      </w:r>
      <w:r w:rsidRPr="00435D9C">
        <w:rPr>
          <w:rFonts w:ascii="仿宋_GB2312" w:eastAsia="仿宋_GB2312" w:hAnsi="宋体" w:cs="仿宋_GB2312" w:hint="eastAsia"/>
          <w:color w:val="000000" w:themeColor="text1"/>
          <w:sz w:val="32"/>
          <w:szCs w:val="32"/>
        </w:rPr>
        <w:t>高校党组织在疫情防控斗争中作用发挥有效模式研究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sidRPr="00435D9C">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0</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高校研究生“样板党支部”示范引领作用发挥研究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5</w:t>
      </w:r>
      <w:r w:rsidR="00BD78B3">
        <w:rPr>
          <w:rFonts w:ascii="仿宋_GB2312" w:eastAsia="仿宋_GB2312" w:hAnsi="宋体" w:cs="仿宋_GB2312"/>
          <w:color w:val="000000" w:themeColor="text1"/>
          <w:sz w:val="32"/>
          <w:szCs w:val="32"/>
        </w:rPr>
        <w:t>1</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“一站式”学生社区综合管理模式建设理论逻辑与实践进路研究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2</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高校“大先生”时代内涵与培养路径研究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3</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大学生马克思主义宗教观教育模式创新路径研究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4</w:t>
      </w:r>
      <w:r>
        <w:rPr>
          <w:rFonts w:ascii="仿宋_GB2312" w:eastAsia="仿宋_GB2312" w:hAnsi="宋体" w:cs="仿宋_GB2312"/>
          <w:color w:val="000000" w:themeColor="text1"/>
          <w:sz w:val="32"/>
          <w:szCs w:val="32"/>
        </w:rPr>
        <w:t>.</w:t>
      </w:r>
      <w:r w:rsidR="00D31098" w:rsidRPr="00D31098">
        <w:rPr>
          <w:rFonts w:ascii="仿宋_GB2312" w:eastAsia="仿宋_GB2312" w:hAnsi="宋体" w:cs="仿宋_GB2312" w:hint="eastAsia"/>
          <w:color w:val="000000" w:themeColor="text1"/>
          <w:sz w:val="32"/>
          <w:szCs w:val="32"/>
        </w:rPr>
        <w:t xml:space="preserve"> </w:t>
      </w:r>
      <w:r w:rsidR="00D31098" w:rsidRPr="00435D9C">
        <w:rPr>
          <w:rFonts w:ascii="仿宋_GB2312" w:eastAsia="仿宋_GB2312" w:hAnsi="宋体" w:cs="仿宋_GB2312" w:hint="eastAsia"/>
          <w:color w:val="000000" w:themeColor="text1"/>
          <w:sz w:val="32"/>
          <w:szCs w:val="32"/>
        </w:rPr>
        <w:t>高校学生危机事件有效应对与处置策略研究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5</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共建共享模式下高校党建资源库建设与实践研究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6</w:t>
      </w:r>
      <w:r>
        <w:rPr>
          <w:rFonts w:ascii="仿宋_GB2312" w:eastAsia="仿宋_GB2312" w:hAnsi="宋体" w:cs="仿宋_GB2312"/>
          <w:color w:val="000000" w:themeColor="text1"/>
          <w:sz w:val="32"/>
          <w:szCs w:val="32"/>
        </w:rPr>
        <w:t>.</w:t>
      </w:r>
      <w:r w:rsidRPr="00435D9C">
        <w:rPr>
          <w:rFonts w:ascii="仿宋_GB2312" w:eastAsia="仿宋_GB2312" w:hAnsi="宋体" w:cs="仿宋_GB2312" w:hint="eastAsia"/>
          <w:color w:val="000000" w:themeColor="text1"/>
          <w:sz w:val="32"/>
          <w:szCs w:val="32"/>
        </w:rPr>
        <w:t>移动互联网时代高校网络安全教育有效策略研究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w:t>
      </w:r>
      <w:r w:rsidR="00BD78B3">
        <w:rPr>
          <w:rFonts w:ascii="仿宋_GB2312" w:eastAsia="仿宋_GB2312" w:hAnsi="宋体" w:cs="仿宋_GB2312"/>
          <w:color w:val="000000" w:themeColor="text1"/>
          <w:sz w:val="32"/>
          <w:szCs w:val="32"/>
        </w:rPr>
        <w:t>7</w:t>
      </w:r>
      <w:r>
        <w:rPr>
          <w:rFonts w:ascii="仿宋_GB2312" w:eastAsia="仿宋_GB2312" w:hAnsi="宋体" w:cs="仿宋_GB2312"/>
          <w:color w:val="000000" w:themeColor="text1"/>
          <w:sz w:val="32"/>
          <w:szCs w:val="32"/>
        </w:rPr>
        <w:t>.</w:t>
      </w:r>
      <w:r w:rsidR="00D31098" w:rsidRPr="00D31098">
        <w:rPr>
          <w:rFonts w:ascii="仿宋_GB2312" w:eastAsia="仿宋_GB2312" w:hAnsi="宋体" w:cs="仿宋_GB2312" w:hint="eastAsia"/>
          <w:color w:val="000000" w:themeColor="text1"/>
          <w:sz w:val="32"/>
          <w:szCs w:val="32"/>
        </w:rPr>
        <w:t xml:space="preserve"> </w:t>
      </w:r>
      <w:r w:rsidR="00D31098" w:rsidRPr="00435D9C">
        <w:rPr>
          <w:rFonts w:ascii="仿宋_GB2312" w:eastAsia="仿宋_GB2312" w:hAnsi="宋体" w:cs="仿宋_GB2312" w:hint="eastAsia"/>
          <w:color w:val="000000" w:themeColor="text1"/>
          <w:sz w:val="32"/>
          <w:szCs w:val="32"/>
        </w:rPr>
        <w:t>高校防范电信网络诈骗长效机制研究</w:t>
      </w:r>
    </w:p>
    <w:p w:rsidR="00435D9C" w:rsidRPr="00435D9C" w:rsidRDefault="00BD78B3"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58</w:t>
      </w:r>
      <w:r w:rsidR="00435D9C">
        <w:rPr>
          <w:rFonts w:ascii="仿宋_GB2312" w:eastAsia="仿宋_GB2312" w:hAnsi="宋体" w:cs="仿宋_GB2312"/>
          <w:color w:val="000000" w:themeColor="text1"/>
          <w:sz w:val="32"/>
          <w:szCs w:val="32"/>
        </w:rPr>
        <w:t>.</w:t>
      </w:r>
      <w:r w:rsidR="00D31098" w:rsidRPr="00D31098">
        <w:rPr>
          <w:rFonts w:ascii="仿宋_GB2312" w:eastAsia="仿宋_GB2312" w:hAnsi="宋体" w:cs="仿宋_GB2312" w:hint="eastAsia"/>
          <w:color w:val="000000" w:themeColor="text1"/>
          <w:sz w:val="32"/>
          <w:szCs w:val="32"/>
        </w:rPr>
        <w:t xml:space="preserve"> </w:t>
      </w:r>
      <w:r w:rsidR="00D31098" w:rsidRPr="00435D9C">
        <w:rPr>
          <w:rFonts w:ascii="仿宋_GB2312" w:eastAsia="仿宋_GB2312" w:hAnsi="宋体" w:cs="仿宋_GB2312" w:hint="eastAsia"/>
          <w:color w:val="000000" w:themeColor="text1"/>
          <w:sz w:val="32"/>
          <w:szCs w:val="32"/>
        </w:rPr>
        <w:t>高校安全风险防范化解研究</w:t>
      </w:r>
    </w:p>
    <w:p w:rsidR="00435D9C" w:rsidRPr="00435D9C" w:rsidRDefault="00BD78B3"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59</w:t>
      </w:r>
      <w:r w:rsidR="00435D9C">
        <w:rPr>
          <w:rFonts w:ascii="仿宋_GB2312" w:eastAsia="仿宋_GB2312" w:hAnsi="宋体" w:cs="仿宋_GB2312"/>
          <w:color w:val="000000" w:themeColor="text1"/>
          <w:sz w:val="32"/>
          <w:szCs w:val="32"/>
        </w:rPr>
        <w:t>.</w:t>
      </w:r>
      <w:r w:rsidR="00D31098" w:rsidRPr="00D31098">
        <w:rPr>
          <w:rFonts w:ascii="仿宋_GB2312" w:eastAsia="仿宋_GB2312" w:hAnsi="宋体" w:cs="仿宋_GB2312" w:hint="eastAsia"/>
          <w:color w:val="000000" w:themeColor="text1"/>
          <w:sz w:val="32"/>
          <w:szCs w:val="32"/>
        </w:rPr>
        <w:t xml:space="preserve"> </w:t>
      </w:r>
      <w:r w:rsidR="00D31098" w:rsidRPr="00435D9C">
        <w:rPr>
          <w:rFonts w:ascii="仿宋_GB2312" w:eastAsia="仿宋_GB2312" w:hAnsi="宋体" w:cs="仿宋_GB2312" w:hint="eastAsia"/>
          <w:color w:val="000000" w:themeColor="text1"/>
          <w:sz w:val="32"/>
          <w:szCs w:val="32"/>
        </w:rPr>
        <w:t>防范“三股势力”向校园渗透工作机制研究</w:t>
      </w:r>
    </w:p>
    <w:p w:rsidR="00435D9C" w:rsidRPr="00435D9C" w:rsidRDefault="00435D9C" w:rsidP="00435D9C">
      <w:pPr>
        <w:adjustRightInd w:val="0"/>
        <w:snapToGrid w:val="0"/>
        <w:spacing w:line="56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6</w:t>
      </w:r>
      <w:r w:rsidR="00BD78B3">
        <w:rPr>
          <w:rFonts w:ascii="仿宋_GB2312" w:eastAsia="仿宋_GB2312" w:hAnsi="宋体" w:cs="仿宋_GB2312"/>
          <w:color w:val="000000" w:themeColor="text1"/>
          <w:sz w:val="32"/>
          <w:szCs w:val="32"/>
        </w:rPr>
        <w:t>0</w:t>
      </w:r>
      <w:r>
        <w:rPr>
          <w:rFonts w:ascii="仿宋_GB2312" w:eastAsia="仿宋_GB2312" w:hAnsi="宋体" w:cs="仿宋_GB2312"/>
          <w:color w:val="000000" w:themeColor="text1"/>
          <w:sz w:val="32"/>
          <w:szCs w:val="32"/>
        </w:rPr>
        <w:t>.</w:t>
      </w:r>
      <w:r w:rsidR="00D31098" w:rsidRPr="00D31098">
        <w:rPr>
          <w:rFonts w:ascii="仿宋_GB2312" w:eastAsia="仿宋_GB2312" w:hAnsi="宋体" w:cs="仿宋_GB2312" w:hint="eastAsia"/>
          <w:color w:val="000000" w:themeColor="text1"/>
          <w:sz w:val="32"/>
          <w:szCs w:val="32"/>
        </w:rPr>
        <w:t xml:space="preserve"> </w:t>
      </w:r>
      <w:r w:rsidR="00D31098" w:rsidRPr="00435D9C">
        <w:rPr>
          <w:rFonts w:ascii="仿宋_GB2312" w:eastAsia="仿宋_GB2312" w:hAnsi="宋体" w:cs="仿宋_GB2312" w:hint="eastAsia"/>
          <w:color w:val="000000" w:themeColor="text1"/>
          <w:sz w:val="32"/>
          <w:szCs w:val="32"/>
        </w:rPr>
        <w:t>涉校网络自媒体管理研究</w:t>
      </w:r>
    </w:p>
    <w:sectPr w:rsidR="00435D9C" w:rsidRPr="00435D9C" w:rsidSect="00B904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85" w:rsidRDefault="00DC3385">
      <w:r>
        <w:separator/>
      </w:r>
    </w:p>
  </w:endnote>
  <w:endnote w:type="continuationSeparator" w:id="0">
    <w:p w:rsidR="00DC3385" w:rsidRDefault="00DC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932044"/>
      <w:docPartObj>
        <w:docPartGallery w:val="AutoText"/>
      </w:docPartObj>
    </w:sdtPr>
    <w:sdtContent>
      <w:p w:rsidR="003075DD" w:rsidRDefault="00B90465">
        <w:pPr>
          <w:pStyle w:val="a4"/>
          <w:jc w:val="center"/>
        </w:pPr>
        <w:r>
          <w:fldChar w:fldCharType="begin"/>
        </w:r>
        <w:r w:rsidR="00D31AE3">
          <w:instrText>PAGE   \* MERGEFORMAT</w:instrText>
        </w:r>
        <w:r>
          <w:fldChar w:fldCharType="separate"/>
        </w:r>
        <w:r w:rsidR="00D31098" w:rsidRPr="00D31098">
          <w:rPr>
            <w:noProof/>
            <w:lang w:val="zh-CN"/>
          </w:rPr>
          <w:t>1</w:t>
        </w:r>
        <w:r>
          <w:fldChar w:fldCharType="end"/>
        </w:r>
      </w:p>
    </w:sdtContent>
  </w:sdt>
  <w:p w:rsidR="003075DD" w:rsidRDefault="003075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85" w:rsidRDefault="00DC3385">
      <w:r>
        <w:separator/>
      </w:r>
    </w:p>
  </w:footnote>
  <w:footnote w:type="continuationSeparator" w:id="0">
    <w:p w:rsidR="00DC3385" w:rsidRDefault="00DC3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1665A"/>
    <w:multiLevelType w:val="multilevel"/>
    <w:tmpl w:val="4B31665A"/>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FE0"/>
    <w:rsid w:val="000331CE"/>
    <w:rsid w:val="00091965"/>
    <w:rsid w:val="00152F0F"/>
    <w:rsid w:val="00165170"/>
    <w:rsid w:val="001B1C66"/>
    <w:rsid w:val="001E131B"/>
    <w:rsid w:val="001E5B6D"/>
    <w:rsid w:val="00260C68"/>
    <w:rsid w:val="00262FE6"/>
    <w:rsid w:val="002E1841"/>
    <w:rsid w:val="003075DD"/>
    <w:rsid w:val="0031219B"/>
    <w:rsid w:val="00362358"/>
    <w:rsid w:val="00382D3D"/>
    <w:rsid w:val="0039736D"/>
    <w:rsid w:val="003B3F7E"/>
    <w:rsid w:val="003B7DD6"/>
    <w:rsid w:val="003F13A1"/>
    <w:rsid w:val="00435D9C"/>
    <w:rsid w:val="0048366B"/>
    <w:rsid w:val="004D4CC2"/>
    <w:rsid w:val="0052412E"/>
    <w:rsid w:val="00554059"/>
    <w:rsid w:val="00580CC5"/>
    <w:rsid w:val="005A250A"/>
    <w:rsid w:val="0061750A"/>
    <w:rsid w:val="0062198F"/>
    <w:rsid w:val="00680909"/>
    <w:rsid w:val="006D1292"/>
    <w:rsid w:val="006F3E89"/>
    <w:rsid w:val="006F692C"/>
    <w:rsid w:val="007F7A82"/>
    <w:rsid w:val="008E42D3"/>
    <w:rsid w:val="008F3032"/>
    <w:rsid w:val="00970D8B"/>
    <w:rsid w:val="009B53E8"/>
    <w:rsid w:val="009B6051"/>
    <w:rsid w:val="009D40BB"/>
    <w:rsid w:val="009E400B"/>
    <w:rsid w:val="00A3146D"/>
    <w:rsid w:val="00A54D44"/>
    <w:rsid w:val="00A83BC3"/>
    <w:rsid w:val="00AA2D6A"/>
    <w:rsid w:val="00AD7C56"/>
    <w:rsid w:val="00B25CAF"/>
    <w:rsid w:val="00B810DF"/>
    <w:rsid w:val="00B90465"/>
    <w:rsid w:val="00BC42FD"/>
    <w:rsid w:val="00BD78B3"/>
    <w:rsid w:val="00BF3D68"/>
    <w:rsid w:val="00C0584D"/>
    <w:rsid w:val="00CA3CE2"/>
    <w:rsid w:val="00D31098"/>
    <w:rsid w:val="00D31AE3"/>
    <w:rsid w:val="00D348D2"/>
    <w:rsid w:val="00D51184"/>
    <w:rsid w:val="00D547CE"/>
    <w:rsid w:val="00D56FE0"/>
    <w:rsid w:val="00D779A2"/>
    <w:rsid w:val="00D80B85"/>
    <w:rsid w:val="00D85CF7"/>
    <w:rsid w:val="00DC0FEF"/>
    <w:rsid w:val="00DC3385"/>
    <w:rsid w:val="00E31CAE"/>
    <w:rsid w:val="00E45164"/>
    <w:rsid w:val="00E8079D"/>
    <w:rsid w:val="00EE7400"/>
    <w:rsid w:val="00F62F97"/>
    <w:rsid w:val="00FB031B"/>
    <w:rsid w:val="01BF348A"/>
    <w:rsid w:val="0C1F750B"/>
    <w:rsid w:val="11191E1D"/>
    <w:rsid w:val="18E60910"/>
    <w:rsid w:val="19695D6D"/>
    <w:rsid w:val="24D5248F"/>
    <w:rsid w:val="527C2548"/>
    <w:rsid w:val="71767C87"/>
    <w:rsid w:val="7AA72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6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90465"/>
    <w:pPr>
      <w:jc w:val="left"/>
    </w:pPr>
  </w:style>
  <w:style w:type="paragraph" w:styleId="a4">
    <w:name w:val="footer"/>
    <w:basedOn w:val="a"/>
    <w:link w:val="Char"/>
    <w:uiPriority w:val="99"/>
    <w:unhideWhenUsed/>
    <w:qFormat/>
    <w:rsid w:val="00B9046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90465"/>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B90465"/>
    <w:rPr>
      <w:i/>
      <w:iCs/>
    </w:rPr>
  </w:style>
  <w:style w:type="character" w:customStyle="1" w:styleId="Char0">
    <w:name w:val="页眉 Char"/>
    <w:basedOn w:val="a0"/>
    <w:link w:val="a5"/>
    <w:uiPriority w:val="99"/>
    <w:qFormat/>
    <w:rsid w:val="00B90465"/>
    <w:rPr>
      <w:rFonts w:ascii="Calibri" w:eastAsia="宋体" w:hAnsi="Calibri" w:cs="Times New Roman"/>
      <w:sz w:val="18"/>
      <w:szCs w:val="18"/>
    </w:rPr>
  </w:style>
  <w:style w:type="character" w:customStyle="1" w:styleId="Char">
    <w:name w:val="页脚 Char"/>
    <w:basedOn w:val="a0"/>
    <w:link w:val="a4"/>
    <w:uiPriority w:val="99"/>
    <w:qFormat/>
    <w:rsid w:val="00B90465"/>
    <w:rPr>
      <w:rFonts w:ascii="Calibri" w:eastAsia="宋体" w:hAnsi="Calibri" w:cs="Times New Roman"/>
      <w:sz w:val="18"/>
      <w:szCs w:val="18"/>
    </w:rPr>
  </w:style>
  <w:style w:type="paragraph" w:styleId="a7">
    <w:name w:val="List Paragraph"/>
    <w:basedOn w:val="a"/>
    <w:uiPriority w:val="34"/>
    <w:qFormat/>
    <w:rsid w:val="00B90465"/>
    <w:pPr>
      <w:ind w:firstLineChars="200" w:firstLine="420"/>
    </w:pPr>
  </w:style>
  <w:style w:type="character" w:styleId="a8">
    <w:name w:val="annotation reference"/>
    <w:basedOn w:val="a0"/>
    <w:uiPriority w:val="99"/>
    <w:semiHidden/>
    <w:unhideWhenUsed/>
    <w:rsid w:val="00B90465"/>
    <w:rPr>
      <w:sz w:val="21"/>
      <w:szCs w:val="21"/>
    </w:rPr>
  </w:style>
  <w:style w:type="paragraph" w:styleId="a9">
    <w:name w:val="Balloon Text"/>
    <w:basedOn w:val="a"/>
    <w:link w:val="Char1"/>
    <w:uiPriority w:val="99"/>
    <w:semiHidden/>
    <w:unhideWhenUsed/>
    <w:rsid w:val="00554059"/>
    <w:rPr>
      <w:sz w:val="18"/>
      <w:szCs w:val="18"/>
    </w:rPr>
  </w:style>
  <w:style w:type="character" w:customStyle="1" w:styleId="Char1">
    <w:name w:val="批注框文本 Char"/>
    <w:basedOn w:val="a0"/>
    <w:link w:val="a9"/>
    <w:uiPriority w:val="99"/>
    <w:semiHidden/>
    <w:rsid w:val="0055405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dc:creator>
  <cp:lastModifiedBy>Administrator</cp:lastModifiedBy>
  <cp:revision>11</cp:revision>
  <cp:lastPrinted>2020-08-25T08:25:00Z</cp:lastPrinted>
  <dcterms:created xsi:type="dcterms:W3CDTF">2021-03-05T06:41:00Z</dcterms:created>
  <dcterms:modified xsi:type="dcterms:W3CDTF">2022-09-22T03:18:00Z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9FD6AA755EFC443DB955EE4C934B2C6C</vt:lpwstr>
  </property>
</Properties>
</file>